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附件</w:t>
      </w:r>
      <w:r>
        <w:rPr>
          <w:rFonts w:ascii="Times New Roman" w:hAnsi="Times New Roman" w:eastAsia="方正黑体_GBK" w:cs="Times New Roman"/>
          <w:bCs/>
          <w:sz w:val="32"/>
          <w:szCs w:val="32"/>
        </w:rPr>
        <w:t>1</w:t>
      </w:r>
    </w:p>
    <w:p>
      <w:pPr>
        <w:pStyle w:val="2"/>
      </w:pPr>
    </w:p>
    <w:p>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武汉武创院投资有限公司</w:t>
      </w:r>
    </w:p>
    <w:p>
      <w:pPr>
        <w:spacing w:line="57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新设银行账户的相关说明</w:t>
      </w:r>
    </w:p>
    <w:p>
      <w:pPr>
        <w:spacing w:line="580" w:lineRule="exact"/>
        <w:ind w:firstLine="640" w:firstLineChars="200"/>
        <w:rPr>
          <w:rFonts w:ascii="仿宋_GB2312" w:eastAsia="仿宋_GB2312" w:cs="仿宋_GB2312"/>
          <w:sz w:val="32"/>
          <w:szCs w:val="32"/>
        </w:rPr>
      </w:pP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根据《财政部关于进一步加强财政部门和预算单位资金存放管理的指导意见》（财库﹝2017﹞76号）《湖北省财政部门和预算单位资金存放管理实施办法》（鄂财库发﹝2017﹞70号）的规定，武汉武创院投资有限公司拟新开设</w:t>
      </w:r>
      <w:r>
        <w:rPr>
          <w:rFonts w:hint="eastAsia" w:ascii="Times New Roman" w:hAnsi="Times New Roman" w:eastAsia="方正仿宋_GBK" w:cs="Times New Roman"/>
          <w:sz w:val="32"/>
          <w:szCs w:val="32"/>
        </w:rPr>
        <w:t>银行</w:t>
      </w:r>
      <w:r>
        <w:rPr>
          <w:rFonts w:ascii="Times New Roman" w:hAnsi="Times New Roman" w:eastAsia="方正仿宋_GBK" w:cs="Times New Roman"/>
          <w:sz w:val="32"/>
          <w:szCs w:val="32"/>
        </w:rPr>
        <w:t>账户，</w:t>
      </w:r>
      <w:r>
        <w:rPr>
          <w:rFonts w:hint="eastAsia" w:ascii="Times New Roman" w:hAnsi="Times New Roman" w:eastAsia="方正仿宋_GBK" w:cs="Times New Roman"/>
          <w:sz w:val="32"/>
          <w:szCs w:val="32"/>
        </w:rPr>
        <w:t>现将此通知予以公告。</w:t>
      </w:r>
    </w:p>
    <w:p>
      <w:pPr>
        <w:keepNext w:val="0"/>
        <w:keepLines w:val="0"/>
        <w:pageBreakBefore w:val="0"/>
        <w:kinsoku/>
        <w:wordWrap/>
        <w:overflowPunct/>
        <w:topLinePunct w:val="0"/>
        <w:autoSpaceDE/>
        <w:autoSpaceDN/>
        <w:bidi w:val="0"/>
        <w:adjustRightInd w:val="0"/>
        <w:snapToGrid/>
        <w:spacing w:line="360" w:lineRule="auto"/>
        <w:ind w:firstLine="640" w:firstLineChars="200"/>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一、开户银行资格要求</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开户银行应</w:t>
      </w:r>
      <w:r>
        <w:rPr>
          <w:rFonts w:hint="eastAsia" w:ascii="Times New Roman" w:hAnsi="Times New Roman" w:eastAsia="方正仿宋_GBK" w:cs="Times New Roman"/>
          <w:sz w:val="32"/>
          <w:szCs w:val="32"/>
        </w:rPr>
        <w:t>具备健全的</w:t>
      </w:r>
      <w:r>
        <w:rPr>
          <w:rFonts w:ascii="Times New Roman" w:hAnsi="Times New Roman" w:eastAsia="方正仿宋_GBK" w:cs="Times New Roman"/>
          <w:sz w:val="32"/>
          <w:szCs w:val="32"/>
        </w:rPr>
        <w:t>内部管理机制</w:t>
      </w:r>
      <w:r>
        <w:rPr>
          <w:rFonts w:hint="eastAsia" w:ascii="Times New Roman" w:hAnsi="Times New Roman" w:eastAsia="方正仿宋_GBK" w:cs="Times New Roman"/>
          <w:sz w:val="32"/>
          <w:szCs w:val="32"/>
        </w:rPr>
        <w:t>、较强的</w:t>
      </w:r>
      <w:r>
        <w:rPr>
          <w:rFonts w:ascii="Times New Roman" w:hAnsi="Times New Roman" w:eastAsia="方正仿宋_GBK" w:cs="Times New Roman"/>
          <w:sz w:val="32"/>
          <w:szCs w:val="32"/>
        </w:rPr>
        <w:t>风险控制能力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稳健</w:t>
      </w:r>
      <w:r>
        <w:rPr>
          <w:rFonts w:hint="eastAsia" w:ascii="Times New Roman" w:hAnsi="Times New Roman" w:eastAsia="方正仿宋_GBK" w:cs="Times New Roman"/>
          <w:sz w:val="32"/>
          <w:szCs w:val="32"/>
        </w:rPr>
        <w:t>的财务管理体系</w:t>
      </w:r>
      <w:r>
        <w:rPr>
          <w:rFonts w:ascii="Times New Roman" w:hAnsi="Times New Roman" w:eastAsia="方正仿宋_GBK" w:cs="Times New Roman"/>
          <w:sz w:val="32"/>
          <w:szCs w:val="32"/>
        </w:rPr>
        <w:t>，近3年内在经营活动中无重大违法违规记录，未发生</w:t>
      </w:r>
      <w:r>
        <w:rPr>
          <w:rFonts w:hint="eastAsia" w:ascii="Times New Roman" w:hAnsi="Times New Roman" w:eastAsia="方正仿宋_GBK" w:cs="Times New Roman"/>
          <w:sz w:val="32"/>
          <w:szCs w:val="32"/>
        </w:rPr>
        <w:t>重大</w:t>
      </w:r>
      <w:r>
        <w:rPr>
          <w:rFonts w:ascii="Times New Roman" w:hAnsi="Times New Roman" w:eastAsia="方正仿宋_GBK" w:cs="Times New Roman"/>
          <w:sz w:val="32"/>
          <w:szCs w:val="32"/>
        </w:rPr>
        <w:t>金融风险及重大违约事件</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spacing w:line="360" w:lineRule="auto"/>
        <w:ind w:firstLine="640" w:firstLineChars="200"/>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二、邀请人地址和联系方式</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邀请人名称：武汉武创院投资有限公司</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邀请人地址：</w:t>
      </w:r>
      <w:r>
        <w:rPr>
          <w:rFonts w:hint="eastAsia" w:ascii="Times New Roman" w:hAnsi="Times New Roman" w:eastAsia="方正仿宋_GBK" w:cs="Times New Roman"/>
          <w:sz w:val="32"/>
          <w:szCs w:val="32"/>
        </w:rPr>
        <w:t>武汉市东湖新技术开发区药监二路武创院本部大楼22层2213室</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联系人及联系方式：</w:t>
      </w:r>
      <w:r>
        <w:rPr>
          <w:rFonts w:hint="eastAsia" w:ascii="Times New Roman" w:hAnsi="Times New Roman" w:eastAsia="方正仿宋_GBK" w:cs="Times New Roman"/>
          <w:sz w:val="32"/>
          <w:szCs w:val="32"/>
        </w:rPr>
        <w:t>李先生</w:t>
      </w:r>
      <w:r>
        <w:rPr>
          <w:rFonts w:ascii="Times New Roman" w:hAnsi="Times New Roman" w:eastAsia="方正仿宋_GBK" w:cs="Times New Roman"/>
          <w:sz w:val="32"/>
          <w:szCs w:val="32"/>
        </w:rPr>
        <w:t xml:space="preserve">   65527709</w:t>
      </w:r>
    </w:p>
    <w:p>
      <w:pPr>
        <w:keepNext w:val="0"/>
        <w:keepLines w:val="0"/>
        <w:pageBreakBefore w:val="0"/>
        <w:widowControl/>
        <w:kinsoku/>
        <w:wordWrap/>
        <w:overflowPunct/>
        <w:topLinePunct w:val="0"/>
        <w:autoSpaceDE/>
        <w:autoSpaceDN/>
        <w:bidi w:val="0"/>
        <w:snapToGrid/>
        <w:spacing w:line="360" w:lineRule="auto"/>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邮箱地址：</w:t>
      </w:r>
      <w:r>
        <w:rPr>
          <w:rFonts w:ascii="Times New Roman" w:hAnsi="Times New Roman" w:eastAsia="方正仿宋_GBK" w:cs="Times New Roman"/>
          <w:sz w:val="32"/>
          <w:szCs w:val="32"/>
        </w:rPr>
        <w:t>liteng@whiiid.com.cn</w:t>
      </w:r>
    </w:p>
    <w:p>
      <w:pPr>
        <w:keepNext w:val="0"/>
        <w:keepLines w:val="0"/>
        <w:pageBreakBefore w:val="0"/>
        <w:kinsoku/>
        <w:wordWrap/>
        <w:overflowPunct/>
        <w:topLinePunct w:val="0"/>
        <w:autoSpaceDE/>
        <w:autoSpaceDN/>
        <w:bidi w:val="0"/>
        <w:adjustRightInd w:val="0"/>
        <w:snapToGrid/>
        <w:spacing w:line="360" w:lineRule="auto"/>
        <w:ind w:firstLine="640" w:firstLineChars="200"/>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三、送审文件要求</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（一）应邀银行编写的送审文件应包括以下内容，并按下列顺序编排：</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《申请书》</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《廉政承诺书》</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《授权委托书》</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相关证明材料包括营业执照、金融机构许可证、法定代表人和代表身份证（复印件加盖公章）；</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服务方案包括应邀银行基本情况（包括可提供的基本服务、增值服务和与武创院体系未来可以产生的联动）、支持</w:t>
      </w:r>
      <w:r>
        <w:rPr>
          <w:rFonts w:hint="eastAsia" w:ascii="Times New Roman" w:hAnsi="Times New Roman" w:eastAsia="方正仿宋_GBK" w:cs="Times New Roman"/>
          <w:sz w:val="32"/>
          <w:szCs w:val="32"/>
          <w:lang w:val="en-US" w:eastAsia="zh-CN"/>
        </w:rPr>
        <w:t>本省</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社会经济发展、保证存款资金安全的措施及其他需要说明的内容。</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（二）应邀银行必须保证送审文件所提供的全部资料真实有效，并接受武创院投的审查和核实。如果应邀银行所提供的资料有欺诈或严重失实的情况，武创院投有权取消其参与资格。</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（三）应邀银行应准备送审文件正本壹份、副本</w:t>
      </w:r>
      <w:r>
        <w:rPr>
          <w:rFonts w:hint="eastAsia" w:ascii="Times New Roman" w:hAnsi="Times New Roman" w:eastAsia="方正仿宋_GBK" w:cs="Times New Roman"/>
          <w:sz w:val="32"/>
          <w:szCs w:val="32"/>
        </w:rPr>
        <w:t>肆</w:t>
      </w:r>
      <w:r>
        <w:rPr>
          <w:rFonts w:ascii="Times New Roman" w:hAnsi="Times New Roman" w:eastAsia="方正仿宋_GBK" w:cs="Times New Roman"/>
          <w:sz w:val="32"/>
          <w:szCs w:val="32"/>
        </w:rPr>
        <w:t>份，每份送审文件须在封面上清楚地标明“正本”或“副本”的字样，正、副本必须保持一致。送审文件的正、副本均需用A4纸打印并按顺序装订成册，由应邀银行负责人签字并加盖公章。原件放置于</w:t>
      </w:r>
      <w:r>
        <w:rPr>
          <w:rFonts w:hint="eastAsia" w:ascii="Times New Roman" w:hAnsi="Times New Roman" w:eastAsia="方正仿宋_GBK" w:cs="Times New Roman"/>
          <w:sz w:val="32"/>
          <w:szCs w:val="32"/>
        </w:rPr>
        <w:t>送审</w:t>
      </w:r>
      <w:r>
        <w:rPr>
          <w:rFonts w:ascii="Times New Roman" w:hAnsi="Times New Roman" w:eastAsia="方正仿宋_GBK" w:cs="Times New Roman"/>
          <w:sz w:val="32"/>
          <w:szCs w:val="32"/>
        </w:rPr>
        <w:t>文件正本，复印件放置于</w:t>
      </w:r>
      <w:r>
        <w:rPr>
          <w:rFonts w:hint="eastAsia" w:ascii="Times New Roman" w:hAnsi="Times New Roman" w:eastAsia="方正仿宋_GBK" w:cs="Times New Roman"/>
          <w:sz w:val="32"/>
          <w:szCs w:val="32"/>
        </w:rPr>
        <w:t>送审</w:t>
      </w:r>
      <w:r>
        <w:rPr>
          <w:rFonts w:ascii="Times New Roman" w:hAnsi="Times New Roman" w:eastAsia="方正仿宋_GBK" w:cs="Times New Roman"/>
          <w:sz w:val="32"/>
          <w:szCs w:val="32"/>
        </w:rPr>
        <w:t>文件副本。</w:t>
      </w:r>
      <w:r>
        <w:rPr>
          <w:rFonts w:hint="eastAsia" w:ascii="Times New Roman" w:hAnsi="Times New Roman" w:eastAsia="方正仿宋_GBK" w:cs="Times New Roman"/>
          <w:sz w:val="32"/>
          <w:szCs w:val="32"/>
        </w:rPr>
        <w:t>送审</w:t>
      </w:r>
      <w:r>
        <w:rPr>
          <w:rFonts w:ascii="Times New Roman" w:hAnsi="Times New Roman" w:eastAsia="方正仿宋_GBK" w:cs="Times New Roman"/>
          <w:sz w:val="32"/>
          <w:szCs w:val="32"/>
        </w:rPr>
        <w:t>文件中凡有涂改之处，都应由应邀银行负责人签字并加盖银行公章。</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（四）参加银行应先行投递扫描的电子版(</w:t>
      </w:r>
      <w:r>
        <w:rPr>
          <w:rFonts w:ascii="Times New Roman" w:hAnsi="Times New Roman" w:eastAsia="方正仿宋_GBK" w:cs="Times New Roman"/>
          <w:sz w:val="32"/>
          <w:szCs w:val="32"/>
        </w:rPr>
        <w:t>pdf</w:t>
      </w:r>
      <w:r>
        <w:rPr>
          <w:rFonts w:hint="eastAsia" w:ascii="Times New Roman" w:hAnsi="Times New Roman" w:eastAsia="方正仿宋_GBK" w:cs="Times New Roman"/>
          <w:sz w:val="32"/>
          <w:szCs w:val="32"/>
        </w:rPr>
        <w:t>格式)，收到邀请人通知后按具体要求递送纸质文件。</w:t>
      </w:r>
    </w:p>
    <w:p>
      <w:pPr>
        <w:keepNext w:val="0"/>
        <w:keepLines w:val="0"/>
        <w:pageBreakBefore w:val="0"/>
        <w:kinsoku/>
        <w:wordWrap/>
        <w:overflowPunct/>
        <w:topLinePunct w:val="0"/>
        <w:autoSpaceDE/>
        <w:autoSpaceDN/>
        <w:bidi w:val="0"/>
        <w:adjustRightInd w:val="0"/>
        <w:snapToGrid/>
        <w:spacing w:line="360" w:lineRule="auto"/>
        <w:ind w:firstLine="640" w:firstLineChars="200"/>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四、费用</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应邀银行应承担所有与编写和提交</w:t>
      </w:r>
      <w:r>
        <w:rPr>
          <w:rFonts w:hint="eastAsia" w:ascii="Times New Roman" w:hAnsi="Times New Roman" w:eastAsia="方正仿宋_GBK" w:cs="Times New Roman"/>
          <w:sz w:val="32"/>
          <w:szCs w:val="32"/>
        </w:rPr>
        <w:t>送审文件</w:t>
      </w:r>
      <w:r>
        <w:rPr>
          <w:rFonts w:ascii="Times New Roman" w:hAnsi="Times New Roman" w:eastAsia="方正仿宋_GBK" w:cs="Times New Roman"/>
          <w:sz w:val="32"/>
          <w:szCs w:val="32"/>
        </w:rPr>
        <w:t>有关的费用，不</w:t>
      </w:r>
      <w:r>
        <w:rPr>
          <w:rFonts w:hint="eastAsia" w:ascii="Times New Roman" w:hAnsi="Times New Roman" w:eastAsia="方正仿宋_GBK" w:cs="Times New Roman"/>
          <w:sz w:val="32"/>
          <w:szCs w:val="32"/>
        </w:rPr>
        <w:t>论最终结果如何</w:t>
      </w:r>
      <w:r>
        <w:rPr>
          <w:rFonts w:ascii="Times New Roman" w:hAnsi="Times New Roman" w:eastAsia="方正仿宋_GBK" w:cs="Times New Roman"/>
          <w:sz w:val="32"/>
          <w:szCs w:val="32"/>
        </w:rPr>
        <w:t>，邀请人在任何情况下均无义务和责任承担相关费用。</w:t>
      </w:r>
    </w:p>
    <w:p>
      <w:pPr>
        <w:keepNext w:val="0"/>
        <w:keepLines w:val="0"/>
        <w:pageBreakBefore w:val="0"/>
        <w:kinsoku/>
        <w:wordWrap/>
        <w:overflowPunct/>
        <w:topLinePunct w:val="0"/>
        <w:autoSpaceDE/>
        <w:autoSpaceDN/>
        <w:bidi w:val="0"/>
        <w:adjustRightInd w:val="0"/>
        <w:snapToGrid/>
        <w:spacing w:line="360" w:lineRule="auto"/>
        <w:ind w:firstLine="640" w:firstLineChars="200"/>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五、评选</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（一）邀请人组建评选小组进行评定。</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小组由武创院</w:t>
      </w:r>
      <w:r>
        <w:rPr>
          <w:rFonts w:hint="eastAsia" w:ascii="Times New Roman" w:hAnsi="Times New Roman" w:eastAsia="方正仿宋_GBK" w:cs="Times New Roman"/>
          <w:sz w:val="32"/>
          <w:szCs w:val="32"/>
        </w:rPr>
        <w:t>和外部专家组</w:t>
      </w:r>
      <w:r>
        <w:rPr>
          <w:rFonts w:ascii="Times New Roman" w:hAnsi="Times New Roman" w:eastAsia="方正仿宋_GBK" w:cs="Times New Roman"/>
          <w:sz w:val="32"/>
          <w:szCs w:val="32"/>
        </w:rPr>
        <w:t>成，与</w:t>
      </w:r>
      <w:r>
        <w:rPr>
          <w:rFonts w:hint="eastAsia" w:ascii="Times New Roman" w:hAnsi="Times New Roman" w:eastAsia="方正仿宋_GBK" w:cs="Times New Roman"/>
          <w:sz w:val="32"/>
          <w:szCs w:val="32"/>
        </w:rPr>
        <w:t>应邀</w:t>
      </w:r>
      <w:r>
        <w:rPr>
          <w:rFonts w:ascii="Times New Roman" w:hAnsi="Times New Roman" w:eastAsia="方正仿宋_GBK" w:cs="Times New Roman"/>
          <w:sz w:val="32"/>
          <w:szCs w:val="32"/>
        </w:rPr>
        <w:t>银行有利害关系的人不得进入评选小组，评选小组组成人员名单在</w:t>
      </w:r>
      <w:r>
        <w:rPr>
          <w:rFonts w:hint="eastAsia" w:ascii="Times New Roman" w:hAnsi="Times New Roman" w:eastAsia="方正仿宋_GBK" w:cs="Times New Roman"/>
          <w:sz w:val="32"/>
          <w:szCs w:val="32"/>
        </w:rPr>
        <w:t>评选</w:t>
      </w:r>
      <w:r>
        <w:rPr>
          <w:rFonts w:ascii="Times New Roman" w:hAnsi="Times New Roman" w:eastAsia="方正仿宋_GBK" w:cs="Times New Roman"/>
          <w:sz w:val="32"/>
          <w:szCs w:val="32"/>
        </w:rPr>
        <w:t>结果确定前保密。</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（二）评选小组依据送审文件及相关规定，对参与银行进行资格审查和确认，并依据综合评分细则对符合规定的参与银行进行综合评分，根据各参与银行综合得分</w:t>
      </w:r>
      <w:r>
        <w:rPr>
          <w:rFonts w:hint="eastAsia" w:ascii="Times New Roman" w:hAnsi="Times New Roman" w:eastAsia="方正仿宋_GBK" w:cs="Times New Roman"/>
          <w:sz w:val="32"/>
          <w:szCs w:val="32"/>
        </w:rPr>
        <w:t>结果</w:t>
      </w:r>
      <w:r>
        <w:rPr>
          <w:rFonts w:ascii="Times New Roman" w:hAnsi="Times New Roman" w:eastAsia="方正仿宋_GBK" w:cs="Times New Roman"/>
          <w:sz w:val="32"/>
          <w:szCs w:val="32"/>
        </w:rPr>
        <w:t>由高到低</w:t>
      </w:r>
      <w:r>
        <w:rPr>
          <w:rFonts w:hint="eastAsia" w:ascii="Times New Roman" w:hAnsi="Times New Roman" w:eastAsia="方正仿宋_GBK" w:cs="Times New Roman"/>
          <w:sz w:val="32"/>
          <w:szCs w:val="32"/>
        </w:rPr>
        <w:t>进行排名。评选小组以评选结果择优选择合作银行。</w:t>
      </w:r>
      <w:r>
        <w:rPr>
          <w:rFonts w:ascii="Times New Roman" w:hAnsi="Times New Roman" w:eastAsia="方正仿宋_GBK" w:cs="Times New Roman"/>
          <w:sz w:val="32"/>
          <w:szCs w:val="32"/>
        </w:rPr>
        <w:t>邀请人和评选小组均无义务向参与银行进行任何有关评选</w:t>
      </w:r>
      <w:r>
        <w:rPr>
          <w:rFonts w:hint="eastAsia" w:ascii="Times New Roman" w:hAnsi="Times New Roman" w:eastAsia="方正仿宋_GBK" w:cs="Times New Roman"/>
          <w:sz w:val="32"/>
          <w:szCs w:val="32"/>
        </w:rPr>
        <w:t>事宜</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解释。</w:t>
      </w:r>
    </w:p>
    <w:p>
      <w:pPr>
        <w:keepNext w:val="0"/>
        <w:keepLines w:val="0"/>
        <w:pageBreakBefore w:val="0"/>
        <w:kinsoku/>
        <w:wordWrap/>
        <w:overflowPunct/>
        <w:topLinePunct w:val="0"/>
        <w:autoSpaceDE/>
        <w:autoSpaceDN/>
        <w:bidi w:val="0"/>
        <w:adjustRightInd w:val="0"/>
        <w:snapToGrid/>
        <w:spacing w:line="360" w:lineRule="auto"/>
        <w:ind w:firstLine="640" w:firstLineChars="200"/>
        <w:textAlignment w:val="auto"/>
        <w:rPr>
          <w:rFonts w:ascii="Times New Roman" w:hAnsi="Times New Roman" w:eastAsia="方正黑体_GBK" w:cs="Times New Roman"/>
          <w:sz w:val="32"/>
          <w:szCs w:val="24"/>
        </w:rPr>
      </w:pPr>
      <w:r>
        <w:rPr>
          <w:rFonts w:ascii="Times New Roman" w:hAnsi="Times New Roman" w:eastAsia="方正黑体_GBK" w:cs="Times New Roman"/>
          <w:sz w:val="32"/>
          <w:szCs w:val="24"/>
        </w:rPr>
        <w:t>六、结果通知</w:t>
      </w:r>
    </w:p>
    <w:p>
      <w:pPr>
        <w:keepNext w:val="0"/>
        <w:keepLines w:val="0"/>
        <w:pageBreakBefore w:val="0"/>
        <w:kinsoku/>
        <w:wordWrap/>
        <w:overflowPunct/>
        <w:topLinePunct w:val="0"/>
        <w:autoSpaceDE/>
        <w:autoSpaceDN/>
        <w:bidi w:val="0"/>
        <w:snapToGrid/>
        <w:spacing w:line="360" w:lineRule="auto"/>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武创院投</w:t>
      </w:r>
      <w:r>
        <w:rPr>
          <w:rFonts w:hint="eastAsia" w:ascii="Times New Roman" w:hAnsi="Times New Roman" w:eastAsia="方正仿宋_GBK" w:cs="Times New Roman"/>
          <w:sz w:val="32"/>
          <w:szCs w:val="32"/>
        </w:rPr>
        <w:t>确定</w:t>
      </w:r>
      <w:r>
        <w:rPr>
          <w:rFonts w:ascii="Times New Roman" w:hAnsi="Times New Roman" w:eastAsia="方正仿宋_GBK" w:cs="Times New Roman"/>
          <w:sz w:val="32"/>
          <w:szCs w:val="32"/>
        </w:rPr>
        <w:t>拟合作银行</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名单后，将按规定程序向合作银行发送</w:t>
      </w:r>
      <w:r>
        <w:rPr>
          <w:rFonts w:hint="eastAsia" w:ascii="Times New Roman" w:hAnsi="Times New Roman" w:eastAsia="方正仿宋_GBK" w:cs="Times New Roman"/>
          <w:sz w:val="32"/>
          <w:szCs w:val="32"/>
        </w:rPr>
        <w:t>确认通知书</w:t>
      </w:r>
      <w:r>
        <w:rPr>
          <w:rFonts w:ascii="Times New Roman" w:hAnsi="Times New Roman" w:eastAsia="方正仿宋_GBK" w:cs="Times New Roman"/>
          <w:sz w:val="32"/>
          <w:szCs w:val="32"/>
        </w:rPr>
        <w:t>，并按合作银行的要求提供相关的开户申请书。</w:t>
      </w:r>
    </w:p>
    <w:p>
      <w:pPr>
        <w:spacing w:line="580" w:lineRule="exact"/>
        <w:ind w:firstLine="640" w:firstLineChars="200"/>
        <w:rPr>
          <w:rFonts w:ascii="Times New Roman" w:hAnsi="Times New Roman" w:eastAsia="仿宋_GB2312" w:cs="Times New Roman"/>
          <w:sz w:val="32"/>
          <w:szCs w:val="32"/>
        </w:rPr>
      </w:pPr>
    </w:p>
    <w:p>
      <w:pPr>
        <w:spacing w:line="580" w:lineRule="exact"/>
        <w:ind w:left="640"/>
        <w:rPr>
          <w:rFonts w:ascii="仿宋_GB2312" w:hAnsi="Times New Roman" w:eastAsia="仿宋_GB2312" w:cs="仿宋_GB2312"/>
          <w:sz w:val="32"/>
          <w:szCs w:val="32"/>
        </w:rPr>
      </w:pPr>
    </w:p>
    <w:p>
      <w:pPr>
        <w:spacing w:line="360" w:lineRule="auto"/>
        <w:ind w:firstLine="640" w:firstLineChars="200"/>
        <w:rPr>
          <w:rFonts w:ascii="仿宋_GB2312" w:hAnsi="Times New Roman" w:eastAsia="仿宋_GB2312" w:cs="仿宋_GB2312"/>
          <w:sz w:val="32"/>
          <w:szCs w:val="32"/>
        </w:rPr>
      </w:pPr>
    </w:p>
    <w:p>
      <w:pPr>
        <w:spacing w:line="580" w:lineRule="exact"/>
        <w:rPr>
          <w:rFonts w:ascii="仿宋_GB2312" w:hAnsi="Times New Roman" w:eastAsia="仿宋_GB2312" w:cs="仿宋_GB2312"/>
          <w:sz w:val="32"/>
          <w:szCs w:val="32"/>
        </w:rPr>
      </w:pPr>
    </w:p>
    <w:p>
      <w:pPr>
        <w:spacing w:line="580" w:lineRule="exact"/>
        <w:ind w:left="640"/>
        <w:rPr>
          <w:rFonts w:ascii="仿宋_GB2312" w:hAnsi="Times New Roman" w:eastAsia="仿宋_GB2312" w:cs="仿宋_GB2312"/>
          <w:sz w:val="32"/>
          <w:szCs w:val="32"/>
        </w:rPr>
      </w:pPr>
    </w:p>
    <w:p>
      <w:pPr>
        <w:spacing w:line="500" w:lineRule="exact"/>
        <w:rPr>
          <w:rFonts w:ascii="Times New Roman" w:hAnsi="Times New Roman" w:eastAsia="方正黑体_GBK" w:cs="Times New Roman"/>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87F7CF05-FB13-4333-8E5D-7501A7972FAB}"/>
  </w:font>
  <w:font w:name="方正黑体_GBK">
    <w:panose1 w:val="03000509000000000000"/>
    <w:charset w:val="86"/>
    <w:family w:val="script"/>
    <w:pitch w:val="default"/>
    <w:sig w:usb0="00000001" w:usb1="080E0000" w:usb2="00000000" w:usb3="00000000" w:csb0="00040000" w:csb1="00000000"/>
    <w:embedRegular r:id="rId2" w:fontKey="{1BD62F57-B131-45ED-883C-43DB2E6A08C5}"/>
  </w:font>
  <w:font w:name="方正小标宋_GBK">
    <w:panose1 w:val="03000509000000000000"/>
    <w:charset w:val="86"/>
    <w:family w:val="script"/>
    <w:pitch w:val="default"/>
    <w:sig w:usb0="00000001" w:usb1="080E0000" w:usb2="00000000" w:usb3="00000000" w:csb0="00040000" w:csb1="00000000"/>
    <w:embedRegular r:id="rId3" w:fontKey="{4E55991D-7CDB-4711-9797-F8EACED6B1C9}"/>
  </w:font>
  <w:font w:name="仿宋_GB2312">
    <w:panose1 w:val="02010609030101010101"/>
    <w:charset w:val="86"/>
    <w:family w:val="auto"/>
    <w:pitch w:val="default"/>
    <w:sig w:usb0="00000001" w:usb1="080E0000" w:usb2="00000000" w:usb3="00000000" w:csb0="00040000" w:csb1="00000000"/>
    <w:embedRegular r:id="rId4" w:fontKey="{08A456D4-EB0C-4A46-8F27-EFC6C648E93E}"/>
  </w:font>
  <w:font w:name="方正仿宋_GBK">
    <w:panose1 w:val="03000509000000000000"/>
    <w:charset w:val="86"/>
    <w:family w:val="script"/>
    <w:pitch w:val="default"/>
    <w:sig w:usb0="00000001" w:usb1="080E0000" w:usb2="00000000" w:usb3="00000000" w:csb0="00040000" w:csb1="00000000"/>
    <w:embedRegular r:id="rId5" w:fontKey="{F502D9EE-551E-4A22-9E8C-09DC5BA9B7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MGNkYTJhN2NkODc0MzYwZWZhYmI0Y2E4ZDVlOGEifQ=="/>
  </w:docVars>
  <w:rsids>
    <w:rsidRoot w:val="00B64577"/>
    <w:rsid w:val="000142BF"/>
    <w:rsid w:val="00070799"/>
    <w:rsid w:val="000824BE"/>
    <w:rsid w:val="000A46B9"/>
    <w:rsid w:val="000B3C95"/>
    <w:rsid w:val="000D4B05"/>
    <w:rsid w:val="000F29E1"/>
    <w:rsid w:val="000F71F3"/>
    <w:rsid w:val="00103B49"/>
    <w:rsid w:val="00112684"/>
    <w:rsid w:val="001406B4"/>
    <w:rsid w:val="00142C5F"/>
    <w:rsid w:val="0014679C"/>
    <w:rsid w:val="0015146B"/>
    <w:rsid w:val="001554A4"/>
    <w:rsid w:val="001C27C3"/>
    <w:rsid w:val="001C4BDC"/>
    <w:rsid w:val="001C5E44"/>
    <w:rsid w:val="001E1FF3"/>
    <w:rsid w:val="002004A9"/>
    <w:rsid w:val="00221DDA"/>
    <w:rsid w:val="00245BE5"/>
    <w:rsid w:val="00253E0A"/>
    <w:rsid w:val="00264E4A"/>
    <w:rsid w:val="0029349B"/>
    <w:rsid w:val="002A1E7F"/>
    <w:rsid w:val="002F47EC"/>
    <w:rsid w:val="00320678"/>
    <w:rsid w:val="00345FED"/>
    <w:rsid w:val="0036764B"/>
    <w:rsid w:val="0037151B"/>
    <w:rsid w:val="00393CDB"/>
    <w:rsid w:val="003A2B39"/>
    <w:rsid w:val="003D5A51"/>
    <w:rsid w:val="003E3664"/>
    <w:rsid w:val="003F31CA"/>
    <w:rsid w:val="004136BB"/>
    <w:rsid w:val="0043076D"/>
    <w:rsid w:val="00454648"/>
    <w:rsid w:val="004816DA"/>
    <w:rsid w:val="004A12F8"/>
    <w:rsid w:val="004B5F63"/>
    <w:rsid w:val="004D5A17"/>
    <w:rsid w:val="00511D93"/>
    <w:rsid w:val="00532970"/>
    <w:rsid w:val="00545553"/>
    <w:rsid w:val="00556DAC"/>
    <w:rsid w:val="00567CCE"/>
    <w:rsid w:val="0057322C"/>
    <w:rsid w:val="0058241B"/>
    <w:rsid w:val="00593627"/>
    <w:rsid w:val="005D585D"/>
    <w:rsid w:val="005F0CEA"/>
    <w:rsid w:val="006159EB"/>
    <w:rsid w:val="00642D90"/>
    <w:rsid w:val="00693277"/>
    <w:rsid w:val="006943C4"/>
    <w:rsid w:val="006B6205"/>
    <w:rsid w:val="006E5B0A"/>
    <w:rsid w:val="007507F2"/>
    <w:rsid w:val="00753770"/>
    <w:rsid w:val="007606C9"/>
    <w:rsid w:val="00791D45"/>
    <w:rsid w:val="007D3491"/>
    <w:rsid w:val="0081705E"/>
    <w:rsid w:val="008530CE"/>
    <w:rsid w:val="0086474F"/>
    <w:rsid w:val="008706E0"/>
    <w:rsid w:val="00890086"/>
    <w:rsid w:val="00891233"/>
    <w:rsid w:val="008A63AF"/>
    <w:rsid w:val="008F4152"/>
    <w:rsid w:val="00901FA3"/>
    <w:rsid w:val="00931239"/>
    <w:rsid w:val="009A08D7"/>
    <w:rsid w:val="009A2426"/>
    <w:rsid w:val="00A325FC"/>
    <w:rsid w:val="00A93C13"/>
    <w:rsid w:val="00AC2D5B"/>
    <w:rsid w:val="00AC6666"/>
    <w:rsid w:val="00AE3383"/>
    <w:rsid w:val="00B17163"/>
    <w:rsid w:val="00B21013"/>
    <w:rsid w:val="00B64577"/>
    <w:rsid w:val="00B6668B"/>
    <w:rsid w:val="00B70634"/>
    <w:rsid w:val="00C01604"/>
    <w:rsid w:val="00C06A72"/>
    <w:rsid w:val="00C440EA"/>
    <w:rsid w:val="00C64EA9"/>
    <w:rsid w:val="00C76913"/>
    <w:rsid w:val="00C92656"/>
    <w:rsid w:val="00C938DB"/>
    <w:rsid w:val="00CA283F"/>
    <w:rsid w:val="00CC79F5"/>
    <w:rsid w:val="00CD4D2A"/>
    <w:rsid w:val="00CF738A"/>
    <w:rsid w:val="00D009FA"/>
    <w:rsid w:val="00D82E7E"/>
    <w:rsid w:val="00DA026A"/>
    <w:rsid w:val="00DB1C99"/>
    <w:rsid w:val="00DF43CE"/>
    <w:rsid w:val="00E01B51"/>
    <w:rsid w:val="00E02C01"/>
    <w:rsid w:val="00E07C25"/>
    <w:rsid w:val="00E10A94"/>
    <w:rsid w:val="00E11E96"/>
    <w:rsid w:val="00E34986"/>
    <w:rsid w:val="00E51246"/>
    <w:rsid w:val="00E524F6"/>
    <w:rsid w:val="00E70FEC"/>
    <w:rsid w:val="00E80AA0"/>
    <w:rsid w:val="00EB4730"/>
    <w:rsid w:val="00F00874"/>
    <w:rsid w:val="00F14E61"/>
    <w:rsid w:val="00F34443"/>
    <w:rsid w:val="00F559E8"/>
    <w:rsid w:val="00F82402"/>
    <w:rsid w:val="00F920CA"/>
    <w:rsid w:val="0552021C"/>
    <w:rsid w:val="08CD541B"/>
    <w:rsid w:val="0936709F"/>
    <w:rsid w:val="098A5E06"/>
    <w:rsid w:val="0A6439AC"/>
    <w:rsid w:val="0AD32042"/>
    <w:rsid w:val="0D9751D7"/>
    <w:rsid w:val="0E0F176C"/>
    <w:rsid w:val="0E7A1115"/>
    <w:rsid w:val="13233762"/>
    <w:rsid w:val="14A76520"/>
    <w:rsid w:val="1553756C"/>
    <w:rsid w:val="16671155"/>
    <w:rsid w:val="1AE23030"/>
    <w:rsid w:val="1EB52583"/>
    <w:rsid w:val="1ECF2A33"/>
    <w:rsid w:val="200E5C16"/>
    <w:rsid w:val="220F4BC3"/>
    <w:rsid w:val="25AE6937"/>
    <w:rsid w:val="2629043C"/>
    <w:rsid w:val="32B2315F"/>
    <w:rsid w:val="33AC390B"/>
    <w:rsid w:val="33C3074B"/>
    <w:rsid w:val="34B460A2"/>
    <w:rsid w:val="35EA74B6"/>
    <w:rsid w:val="363F688A"/>
    <w:rsid w:val="37EB732E"/>
    <w:rsid w:val="387343A0"/>
    <w:rsid w:val="38F54B6D"/>
    <w:rsid w:val="3CC877CF"/>
    <w:rsid w:val="3DD71C0A"/>
    <w:rsid w:val="41C05EEF"/>
    <w:rsid w:val="425B2FFF"/>
    <w:rsid w:val="429D53B2"/>
    <w:rsid w:val="42BC10C5"/>
    <w:rsid w:val="43191E93"/>
    <w:rsid w:val="484D61FF"/>
    <w:rsid w:val="4C3D1E9A"/>
    <w:rsid w:val="4DB62326"/>
    <w:rsid w:val="4E2122D5"/>
    <w:rsid w:val="4E541136"/>
    <w:rsid w:val="4EB74336"/>
    <w:rsid w:val="4EC062BC"/>
    <w:rsid w:val="4EFC4318"/>
    <w:rsid w:val="501366D8"/>
    <w:rsid w:val="55C07F3D"/>
    <w:rsid w:val="58664D2B"/>
    <w:rsid w:val="5A694C8A"/>
    <w:rsid w:val="5ECF7E97"/>
    <w:rsid w:val="601B5F7A"/>
    <w:rsid w:val="6214756A"/>
    <w:rsid w:val="627507A0"/>
    <w:rsid w:val="62A524F9"/>
    <w:rsid w:val="639B45B1"/>
    <w:rsid w:val="63BA29FB"/>
    <w:rsid w:val="6438729E"/>
    <w:rsid w:val="660771CC"/>
    <w:rsid w:val="661769BA"/>
    <w:rsid w:val="66803ACE"/>
    <w:rsid w:val="67BB5736"/>
    <w:rsid w:val="698312F6"/>
    <w:rsid w:val="6D502F5F"/>
    <w:rsid w:val="6D952583"/>
    <w:rsid w:val="712B767B"/>
    <w:rsid w:val="736935E7"/>
    <w:rsid w:val="737C5B3F"/>
    <w:rsid w:val="74175493"/>
    <w:rsid w:val="78BF29AE"/>
    <w:rsid w:val="7B727DC7"/>
    <w:rsid w:val="7C6F772B"/>
    <w:rsid w:val="7C740070"/>
    <w:rsid w:val="7DA20338"/>
    <w:rsid w:val="7E3442B3"/>
    <w:rsid w:val="7E5C6816"/>
    <w:rsid w:val="7E830F33"/>
    <w:rsid w:val="7F4B53A4"/>
    <w:rsid w:val="7F712A87"/>
    <w:rsid w:val="7F8518D8"/>
    <w:rsid w:val="7FEA0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link w:val="9"/>
    <w:qFormat/>
    <w:uiPriority w:val="0"/>
    <w:pPr>
      <w:spacing w:after="120"/>
      <w:ind w:left="420" w:leftChars="200"/>
    </w:pPr>
    <w:rPr>
      <w:rFonts w:ascii="Times New Roman" w:hAnsi="Times New Roman" w:eastAsia="宋体" w:cs="Times New Roman"/>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缩进 字符"/>
    <w:basedOn w:val="8"/>
    <w:link w:val="4"/>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页眉 字符"/>
    <w:basedOn w:val="8"/>
    <w:link w:val="6"/>
    <w:qFormat/>
    <w:uiPriority w:val="99"/>
    <w:rPr>
      <w:kern w:val="2"/>
      <w:sz w:val="18"/>
      <w:szCs w:val="18"/>
    </w:rPr>
  </w:style>
  <w:style w:type="character" w:customStyle="1" w:styleId="14">
    <w:name w:val="页脚 字符"/>
    <w:basedOn w:val="8"/>
    <w:link w:val="5"/>
    <w:qFormat/>
    <w:uiPriority w:val="99"/>
    <w:rPr>
      <w:kern w:val="2"/>
      <w:sz w:val="18"/>
      <w:szCs w:val="18"/>
    </w:rPr>
  </w:style>
  <w:style w:type="character" w:customStyle="1" w:styleId="15">
    <w:name w:val="profile_address_text"/>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E91B0-E610-413A-A20F-C11499F6D4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2037</Words>
  <Characters>2298</Characters>
  <Lines>20</Lines>
  <Paragraphs>5</Paragraphs>
  <TotalTime>69</TotalTime>
  <ScaleCrop>false</ScaleCrop>
  <LinksUpToDate>false</LinksUpToDate>
  <CharactersWithSpaces>2466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2022-10-17T07:23:00Z</dcterms:created>
  <dc:creator>李腾</dc:creator>
  <cp:lastModifiedBy>柠萌加冰</cp:lastModifiedBy>
  <cp:lastPrinted>2022-10-19T01:50:00Z</cp:lastPrinted>
  <dcterms:modified xsi:type="dcterms:W3CDTF">2022-10-19T13:37:48Z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7F8A708FF9CE4E4C969D5CE7B84930D5</vt:lpwstr>
  </property>
</Properties>
</file>